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32AC" w:rsidRPr="007A32AC" w:rsidRDefault="007A32AC" w:rsidP="007A32AC">
      <w:pPr>
        <w:jc w:val="center"/>
        <w:rPr>
          <w:b/>
          <w:sz w:val="36"/>
          <w:szCs w:val="36"/>
          <w:u w:val="single"/>
        </w:rPr>
      </w:pPr>
      <w:r w:rsidRPr="007A32AC">
        <w:rPr>
          <w:b/>
          <w:sz w:val="36"/>
          <w:szCs w:val="36"/>
          <w:u w:val="single"/>
        </w:rPr>
        <w:t>Fire Safety Information</w:t>
      </w:r>
    </w:p>
    <w:tbl>
      <w:tblPr>
        <w:tblW w:w="9056" w:type="dxa"/>
        <w:tblInd w:w="93" w:type="dxa"/>
        <w:tblLook w:val="04A0" w:firstRow="1" w:lastRow="0" w:firstColumn="1" w:lastColumn="0" w:noHBand="0" w:noVBand="1"/>
      </w:tblPr>
      <w:tblGrid>
        <w:gridCol w:w="9056"/>
      </w:tblGrid>
      <w:tr w:rsidR="007A32AC" w:rsidRPr="007A32AC" w:rsidTr="007A32AC">
        <w:trPr>
          <w:trHeight w:val="288"/>
        </w:trPr>
        <w:tc>
          <w:tcPr>
            <w:tcW w:w="9056" w:type="dxa"/>
            <w:tcBorders>
              <w:top w:val="nil"/>
              <w:left w:val="nil"/>
              <w:bottom w:val="nil"/>
              <w:right w:val="nil"/>
            </w:tcBorders>
            <w:shd w:val="clear" w:color="auto" w:fill="auto"/>
            <w:noWrap/>
            <w:vAlign w:val="bottom"/>
            <w:hideMark/>
          </w:tcPr>
          <w:p w:rsidR="007A32AC" w:rsidRPr="007A32AC" w:rsidRDefault="007A32AC" w:rsidP="007A32AC">
            <w:pPr>
              <w:spacing w:after="0" w:line="240" w:lineRule="auto"/>
            </w:pPr>
            <w:r w:rsidRPr="007A32AC">
              <w:t xml:space="preserve">Fire safety of </w:t>
            </w:r>
            <w:bookmarkStart w:id="0" w:name="_GoBack"/>
            <w:bookmarkEnd w:id="0"/>
            <w:r w:rsidR="00853E6F" w:rsidRPr="007A32AC">
              <w:t>these premises</w:t>
            </w:r>
            <w:r w:rsidRPr="007A32AC">
              <w:t xml:space="preserve"> is the responsibility of </w:t>
            </w:r>
            <w:r w:rsidR="00C16C2A">
              <w:t>C. H. FLATS NO. 2</w:t>
            </w:r>
            <w:r w:rsidR="004B3759" w:rsidRPr="004B3759">
              <w:t xml:space="preserve"> (WOOTTON BASSETT) LIMITED</w:t>
            </w:r>
          </w:p>
          <w:p w:rsidR="007A32AC" w:rsidRPr="007A32AC" w:rsidRDefault="007A32AC" w:rsidP="007A32AC">
            <w:pPr>
              <w:spacing w:after="0" w:line="240" w:lineRule="auto"/>
            </w:pPr>
          </w:p>
        </w:tc>
      </w:tr>
      <w:tr w:rsidR="007A32AC" w:rsidRPr="007A32AC" w:rsidTr="007A32AC">
        <w:trPr>
          <w:trHeight w:val="288"/>
        </w:trPr>
        <w:tc>
          <w:tcPr>
            <w:tcW w:w="9056" w:type="dxa"/>
            <w:tcBorders>
              <w:top w:val="nil"/>
              <w:left w:val="nil"/>
              <w:bottom w:val="nil"/>
              <w:right w:val="nil"/>
            </w:tcBorders>
            <w:shd w:val="clear" w:color="auto" w:fill="auto"/>
            <w:noWrap/>
            <w:vAlign w:val="bottom"/>
            <w:hideMark/>
          </w:tcPr>
          <w:p w:rsidR="007A32AC" w:rsidRPr="007A32AC" w:rsidRDefault="00C16C2A" w:rsidP="007A32AC">
            <w:pPr>
              <w:spacing w:after="0" w:line="240" w:lineRule="auto"/>
            </w:pPr>
            <w:r>
              <w:t>C. H. FLATS NO. 2</w:t>
            </w:r>
            <w:r w:rsidR="004B3759" w:rsidRPr="004B3759">
              <w:t xml:space="preserve"> (WOOTTON BASSETT) LIMITED</w:t>
            </w:r>
            <w:r w:rsidR="004B3759">
              <w:t xml:space="preserve"> </w:t>
            </w:r>
            <w:r w:rsidR="007A32AC" w:rsidRPr="007A32AC">
              <w:t>are also the responsible persons as detailed in the FRA (fire risk assessment).</w:t>
            </w:r>
          </w:p>
        </w:tc>
      </w:tr>
      <w:tr w:rsidR="007A32AC" w:rsidRPr="007A32AC" w:rsidTr="007A32AC">
        <w:trPr>
          <w:trHeight w:val="288"/>
        </w:trPr>
        <w:tc>
          <w:tcPr>
            <w:tcW w:w="9056" w:type="dxa"/>
            <w:tcBorders>
              <w:top w:val="nil"/>
              <w:left w:val="nil"/>
              <w:bottom w:val="nil"/>
              <w:right w:val="nil"/>
            </w:tcBorders>
            <w:shd w:val="clear" w:color="auto" w:fill="auto"/>
            <w:noWrap/>
            <w:vAlign w:val="bottom"/>
            <w:hideMark/>
          </w:tcPr>
          <w:p w:rsidR="007A32AC" w:rsidRPr="007A32AC" w:rsidRDefault="007A32AC" w:rsidP="007A32AC">
            <w:pPr>
              <w:spacing w:after="0" w:line="240" w:lineRule="auto"/>
            </w:pPr>
          </w:p>
        </w:tc>
      </w:tr>
      <w:tr w:rsidR="007A32AC" w:rsidRPr="007A32AC" w:rsidTr="007A32AC">
        <w:trPr>
          <w:trHeight w:val="288"/>
        </w:trPr>
        <w:tc>
          <w:tcPr>
            <w:tcW w:w="9056" w:type="dxa"/>
            <w:tcBorders>
              <w:top w:val="nil"/>
              <w:left w:val="nil"/>
              <w:bottom w:val="nil"/>
              <w:right w:val="nil"/>
            </w:tcBorders>
            <w:shd w:val="clear" w:color="auto" w:fill="auto"/>
            <w:noWrap/>
            <w:vAlign w:val="bottom"/>
            <w:hideMark/>
          </w:tcPr>
          <w:p w:rsidR="007A32AC" w:rsidRPr="007A32AC" w:rsidRDefault="007A32AC" w:rsidP="007A32AC">
            <w:pPr>
              <w:spacing w:after="0" w:line="240" w:lineRule="auto"/>
            </w:pPr>
            <w:r w:rsidRPr="007A32AC">
              <w:t xml:space="preserve">The named directors of the management company are assigned to making sure the management company reduces risk and resolves any identified problems. They can be contacted at their registered address, via the management company details at </w:t>
            </w:r>
            <w:r w:rsidR="00C16C2A" w:rsidRPr="00C16C2A">
              <w:t xml:space="preserve">C/O </w:t>
            </w:r>
            <w:proofErr w:type="spellStart"/>
            <w:r w:rsidR="00C16C2A" w:rsidRPr="00C16C2A">
              <w:t>Dck</w:t>
            </w:r>
            <w:proofErr w:type="spellEnd"/>
            <w:r w:rsidR="00C16C2A" w:rsidRPr="00C16C2A">
              <w:t xml:space="preserve"> Beavers Ltd Unit 1 </w:t>
            </w:r>
            <w:proofErr w:type="spellStart"/>
            <w:r w:rsidR="00C16C2A" w:rsidRPr="00C16C2A">
              <w:t>Uffcott</w:t>
            </w:r>
            <w:proofErr w:type="spellEnd"/>
            <w:r w:rsidR="00C16C2A" w:rsidRPr="00C16C2A">
              <w:t xml:space="preserve"> Farm, </w:t>
            </w:r>
            <w:proofErr w:type="spellStart"/>
            <w:r w:rsidR="00C16C2A" w:rsidRPr="00C16C2A">
              <w:t>Uffcott</w:t>
            </w:r>
            <w:proofErr w:type="spellEnd"/>
            <w:r w:rsidR="00C16C2A" w:rsidRPr="00C16C2A">
              <w:t>, Swindon, Wiltshire, SN4 9NB</w:t>
            </w:r>
            <w:r w:rsidRPr="007A32AC">
              <w:t xml:space="preserve"> or via the agent, </w:t>
            </w:r>
            <w:proofErr w:type="spellStart"/>
            <w:r w:rsidRPr="007A32AC">
              <w:t>Tydemans</w:t>
            </w:r>
            <w:proofErr w:type="spellEnd"/>
            <w:r w:rsidRPr="007A32AC">
              <w:t xml:space="preserve"> Residential, </w:t>
            </w:r>
            <w:hyperlink r:id="rId5" w:history="1">
              <w:r w:rsidRPr="007A32AC">
                <w:t>admin@tydemansresidential.co.uk</w:t>
              </w:r>
            </w:hyperlink>
            <w:r w:rsidRPr="007A32AC">
              <w:t xml:space="preserve"> / 07854099915 who can pass relevant information to them.</w:t>
            </w:r>
          </w:p>
        </w:tc>
      </w:tr>
      <w:tr w:rsidR="007A32AC" w:rsidRPr="007A32AC" w:rsidTr="007A32AC">
        <w:trPr>
          <w:trHeight w:val="288"/>
        </w:trPr>
        <w:tc>
          <w:tcPr>
            <w:tcW w:w="9056" w:type="dxa"/>
            <w:tcBorders>
              <w:top w:val="nil"/>
              <w:left w:val="nil"/>
              <w:bottom w:val="nil"/>
              <w:right w:val="nil"/>
            </w:tcBorders>
            <w:shd w:val="clear" w:color="auto" w:fill="auto"/>
            <w:noWrap/>
            <w:vAlign w:val="bottom"/>
            <w:hideMark/>
          </w:tcPr>
          <w:p w:rsidR="007A32AC" w:rsidRPr="007A32AC" w:rsidRDefault="007A32AC" w:rsidP="007A32AC">
            <w:pPr>
              <w:spacing w:after="0" w:line="240" w:lineRule="auto"/>
            </w:pPr>
          </w:p>
          <w:p w:rsidR="007A32AC" w:rsidRPr="007A32AC" w:rsidRDefault="007A32AC" w:rsidP="007A32AC">
            <w:pPr>
              <w:spacing w:after="0" w:line="240" w:lineRule="auto"/>
            </w:pPr>
            <w:r w:rsidRPr="007A32AC">
              <w:t xml:space="preserve">A full copy of the FRA can be found on the website </w:t>
            </w:r>
            <w:hyperlink r:id="rId6" w:history="1">
              <w:r w:rsidRPr="007A32AC">
                <w:t>www.tydemansresidential.co.uk/sites</w:t>
              </w:r>
            </w:hyperlink>
            <w:r w:rsidRPr="007A32AC">
              <w:t xml:space="preserve"> and by selecting </w:t>
            </w:r>
            <w:r w:rsidR="00AD606C">
              <w:t>Marlborough</w:t>
            </w:r>
            <w:r w:rsidR="004B3759">
              <w:t xml:space="preserve"> Court</w:t>
            </w:r>
            <w:r w:rsidRPr="007A32AC">
              <w:t>.</w:t>
            </w:r>
          </w:p>
          <w:p w:rsidR="007A32AC" w:rsidRPr="007A32AC" w:rsidRDefault="007A32AC" w:rsidP="007A32AC">
            <w:pPr>
              <w:spacing w:after="0" w:line="240" w:lineRule="auto"/>
            </w:pPr>
          </w:p>
        </w:tc>
      </w:tr>
      <w:tr w:rsidR="007A32AC" w:rsidRPr="007A32AC" w:rsidTr="007A32AC">
        <w:trPr>
          <w:trHeight w:val="288"/>
        </w:trPr>
        <w:tc>
          <w:tcPr>
            <w:tcW w:w="9056" w:type="dxa"/>
            <w:tcBorders>
              <w:top w:val="nil"/>
              <w:left w:val="nil"/>
              <w:bottom w:val="nil"/>
              <w:right w:val="nil"/>
            </w:tcBorders>
            <w:shd w:val="clear" w:color="auto" w:fill="auto"/>
            <w:noWrap/>
            <w:vAlign w:val="bottom"/>
            <w:hideMark/>
          </w:tcPr>
          <w:p w:rsidR="007A32AC" w:rsidRPr="007A32AC" w:rsidRDefault="007A32AC" w:rsidP="007A32AC">
            <w:pPr>
              <w:spacing w:after="0" w:line="240" w:lineRule="auto"/>
            </w:pPr>
            <w:r w:rsidRPr="007A32AC">
              <w:t>Assembly Point = Car Park / No Smoking / Stay Put Policy</w:t>
            </w:r>
          </w:p>
          <w:p w:rsidR="007A32AC" w:rsidRPr="007A32AC" w:rsidRDefault="007A32AC" w:rsidP="007A32AC">
            <w:pPr>
              <w:spacing w:after="0" w:line="240" w:lineRule="auto"/>
            </w:pPr>
          </w:p>
        </w:tc>
      </w:tr>
    </w:tbl>
    <w:p w:rsidR="007A32AC" w:rsidRDefault="007A32AC">
      <w:pPr>
        <w:rPr>
          <w:b/>
        </w:rPr>
      </w:pPr>
      <w:r>
        <w:rPr>
          <w:b/>
        </w:rPr>
        <w:t>Fire Safety Policy – STAY PUT</w:t>
      </w:r>
    </w:p>
    <w:p w:rsidR="007A32AC" w:rsidRDefault="007A32AC" w:rsidP="007A32AC">
      <w:proofErr w:type="gramStart"/>
      <w:r>
        <w:t>Policy :</w:t>
      </w:r>
      <w:proofErr w:type="gramEnd"/>
      <w:r>
        <w:t xml:space="preserve"> Stay Put Policy. Detail</w:t>
      </w:r>
      <w:r w:rsidRPr="00FF4DA0">
        <w:t>: Fire action. If fire breaks out in your flat: Leave the room where the fire is straight away, then close the door. Tell everyone in your flat and get them to leave. Close the flat entrance door behind you. Do not stay behind to put the fire out. Wait outside, away from the building. Call the fire service - dial 999 or 112. If you see or hear a fire in another part of the building: The building is designed to contain a fire in the flat where it starts. This means it will usually be safe for you to stay in your own flat if the fire is elsewhere. You must also leave immediately if smoke or heat affects your home, or you are told to leave by the fire service. If you are in doubt - get out. To call the fire service: Dial 999 or 112. When the operator answers, give your telephone number and ask for fire. When the fire service reply, give the address where the fire is. Do not end the call until the fire service has repeated the address correctly.</w:t>
      </w:r>
    </w:p>
    <w:p w:rsidR="007A32AC" w:rsidRDefault="007A32AC" w:rsidP="007A32AC"/>
    <w:p w:rsidR="007A32AC" w:rsidRDefault="007A32AC">
      <w:r w:rsidRPr="007A32AC">
        <w:rPr>
          <w:b/>
        </w:rPr>
        <w:t>Fire Doors</w:t>
      </w:r>
      <w:r>
        <w:t xml:space="preserve"> – Extracted from the FRA</w:t>
      </w:r>
      <w:r w:rsidR="004B3759">
        <w:t xml:space="preserve"> – Occupiers and Owners</w:t>
      </w:r>
    </w:p>
    <w:p w:rsidR="003C57D0" w:rsidRDefault="007A32AC">
      <w:r>
        <w:t xml:space="preserve">Under the Fire Safety (England) Regulations 2022, leaseholder(s) and residents must be informed about the importance of maintaining fire doors in good condition and inform them they must be inspected annually. It must be stressed to them all flat entrance doors must be kept shut when not in use and, if they remove the </w:t>
      </w:r>
      <w:proofErr w:type="spellStart"/>
      <w:r>
        <w:t>self closing</w:t>
      </w:r>
      <w:proofErr w:type="spellEnd"/>
      <w:r>
        <w:t xml:space="preserve"> device, they are breaking the law. They should be advised not to alter doors or replace existing doors without seeking professional advice. If they replace a fire resisting door with a non-fire-resisting door, they are also breaking the law. They must be told to report any faults or damage to their flat entrance door to the RP or management company immediately. It is a legal requirement that the above information be provided to residents as soon as reasonably practicable after they move into their flat, and at periods of no greater than 12 months thereafter. The RP must ensure this information is being promulgated annually to all residents.</w:t>
      </w:r>
    </w:p>
    <w:p w:rsidR="007A32AC" w:rsidRDefault="000F2FBF">
      <w:r w:rsidRPr="000F2FBF">
        <w:t>FRA states “The RP must ensure that all common fire doors and each flat entrance fire door are inspected as per Fire Safety (England) Regulation 22 and they are compliant in accordance with BS 8214:2016, or the manufactures instructions to ensure they are FD30S fire doors. The RP must ensure the common area fire doors are fire for purpose, and inform the leaseholders too, their flat entrance doors must be FD30S (smoke) fire doors with self-closer and are being inspected and suitability maintained.”</w:t>
      </w:r>
    </w:p>
    <w:sectPr w:rsidR="007A32AC" w:rsidSect="007A32A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32AC"/>
    <w:rsid w:val="000F2FBF"/>
    <w:rsid w:val="003C57D0"/>
    <w:rsid w:val="004B3759"/>
    <w:rsid w:val="007A32AC"/>
    <w:rsid w:val="00853E6F"/>
    <w:rsid w:val="009E4E75"/>
    <w:rsid w:val="00A1466A"/>
    <w:rsid w:val="00AD606C"/>
    <w:rsid w:val="00C16C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A32A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A32A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4993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tydemansresidential.co.uk/sites" TargetMode="External"/><Relationship Id="rId5" Type="http://schemas.openxmlformats.org/officeDocument/2006/relationships/hyperlink" Target="mailto:admin@tydemansresidential.co.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531</Words>
  <Characters>3029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 Tydeman</dc:creator>
  <cp:lastModifiedBy>richard Tydeman</cp:lastModifiedBy>
  <cp:revision>4</cp:revision>
  <cp:lastPrinted>2025-03-27T19:15:00Z</cp:lastPrinted>
  <dcterms:created xsi:type="dcterms:W3CDTF">2025-03-27T19:23:00Z</dcterms:created>
  <dcterms:modified xsi:type="dcterms:W3CDTF">2025-03-28T08:26:00Z</dcterms:modified>
</cp:coreProperties>
</file>